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1FB" w:rsidRDefault="004B0646" w:rsidP="004B0646">
      <w:pPr>
        <w:spacing w:after="41"/>
        <w:ind w:left="925" w:hanging="10"/>
      </w:pPr>
      <w:r>
        <w:rPr>
          <w:rFonts w:ascii="Times New Roman" w:eastAsia="Times New Roman" w:hAnsi="Times New Roman" w:cs="Times New Roman"/>
          <w:b/>
        </w:rPr>
        <w:t xml:space="preserve"> </w:t>
      </w:r>
    </w:p>
    <w:p w:rsidR="008B61FB" w:rsidRDefault="004B0646">
      <w:pPr>
        <w:spacing w:after="0"/>
        <w:ind w:left="970"/>
        <w:jc w:val="center"/>
      </w:pPr>
      <w:r>
        <w:rPr>
          <w:rFonts w:ascii="Times New Roman" w:eastAsia="Times New Roman" w:hAnsi="Times New Roman" w:cs="Times New Roman"/>
          <w:b/>
        </w:rPr>
        <w:t xml:space="preserve"> </w:t>
      </w:r>
    </w:p>
    <w:tbl>
      <w:tblPr>
        <w:tblStyle w:val="TableGrid"/>
        <w:tblW w:w="10490" w:type="dxa"/>
        <w:tblInd w:w="-708" w:type="dxa"/>
        <w:tblCellMar>
          <w:top w:w="10" w:type="dxa"/>
          <w:left w:w="70" w:type="dxa"/>
          <w:bottom w:w="0" w:type="dxa"/>
          <w:right w:w="4" w:type="dxa"/>
        </w:tblCellMar>
        <w:tblLook w:val="04A0" w:firstRow="1" w:lastRow="0" w:firstColumn="1" w:lastColumn="0" w:noHBand="0" w:noVBand="1"/>
      </w:tblPr>
      <w:tblGrid>
        <w:gridCol w:w="3685"/>
        <w:gridCol w:w="1670"/>
        <w:gridCol w:w="5135"/>
      </w:tblGrid>
      <w:tr w:rsidR="008B61FB">
        <w:trPr>
          <w:trHeight w:val="425"/>
        </w:trPr>
        <w:tc>
          <w:tcPr>
            <w:tcW w:w="3685" w:type="dxa"/>
            <w:tcBorders>
              <w:top w:val="single" w:sz="4" w:space="0" w:color="000000"/>
              <w:left w:val="single" w:sz="4" w:space="0" w:color="000000"/>
              <w:bottom w:val="single" w:sz="4" w:space="0" w:color="000000"/>
              <w:right w:val="single" w:sz="4" w:space="0" w:color="000000"/>
            </w:tcBorders>
          </w:tcPr>
          <w:p w:rsidR="008B61FB" w:rsidRDefault="004B0646">
            <w:pPr>
              <w:spacing w:after="0"/>
              <w:ind w:left="38"/>
            </w:pPr>
            <w:r>
              <w:rPr>
                <w:rFonts w:ascii="Times New Roman" w:eastAsia="Times New Roman" w:hAnsi="Times New Roman" w:cs="Times New Roman"/>
                <w:b/>
                <w:sz w:val="18"/>
              </w:rPr>
              <w:t xml:space="preserve"> </w:t>
            </w:r>
          </w:p>
          <w:p w:rsidR="008B61FB" w:rsidRDefault="004B0646">
            <w:pPr>
              <w:spacing w:after="0"/>
              <w:ind w:left="38"/>
            </w:pPr>
            <w:r>
              <w:rPr>
                <w:rFonts w:ascii="Times New Roman" w:eastAsia="Times New Roman" w:hAnsi="Times New Roman" w:cs="Times New Roman"/>
                <w:b/>
                <w:sz w:val="18"/>
              </w:rPr>
              <w:t xml:space="preserve">KURUM ADI </w:t>
            </w:r>
          </w:p>
        </w:tc>
        <w:tc>
          <w:tcPr>
            <w:tcW w:w="6805" w:type="dxa"/>
            <w:gridSpan w:val="2"/>
            <w:tcBorders>
              <w:top w:val="single" w:sz="4" w:space="0" w:color="000000"/>
              <w:left w:val="single" w:sz="4" w:space="0" w:color="000000"/>
              <w:bottom w:val="single" w:sz="4" w:space="0" w:color="000000"/>
              <w:right w:val="single" w:sz="4" w:space="0" w:color="000000"/>
            </w:tcBorders>
          </w:tcPr>
          <w:p w:rsidR="008B61FB" w:rsidRDefault="004B0646">
            <w:pPr>
              <w:spacing w:after="19"/>
              <w:ind w:left="41"/>
            </w:pPr>
            <w:r>
              <w:rPr>
                <w:rFonts w:ascii="Times New Roman" w:eastAsia="Times New Roman" w:hAnsi="Times New Roman" w:cs="Times New Roman"/>
                <w:b/>
                <w:sz w:val="18"/>
              </w:rPr>
              <w:t xml:space="preserve"> </w:t>
            </w:r>
          </w:p>
          <w:p w:rsidR="008B61FB" w:rsidRDefault="004B0646">
            <w:pPr>
              <w:spacing w:after="0"/>
              <w:ind w:left="41"/>
            </w:pPr>
            <w:r>
              <w:rPr>
                <w:rFonts w:ascii="Times New Roman" w:eastAsia="Times New Roman" w:hAnsi="Times New Roman" w:cs="Times New Roman"/>
                <w:b/>
                <w:sz w:val="18"/>
              </w:rPr>
              <w:t xml:space="preserve">İL SANAYİ VE TEKNOLOJİ MÜDÜRLÜĞÜ </w:t>
            </w:r>
          </w:p>
        </w:tc>
      </w:tr>
      <w:tr w:rsidR="008B61FB">
        <w:trPr>
          <w:trHeight w:val="425"/>
        </w:trPr>
        <w:tc>
          <w:tcPr>
            <w:tcW w:w="3685" w:type="dxa"/>
            <w:tcBorders>
              <w:top w:val="single" w:sz="4" w:space="0" w:color="000000"/>
              <w:left w:val="single" w:sz="4" w:space="0" w:color="000000"/>
              <w:bottom w:val="single" w:sz="4" w:space="0" w:color="000000"/>
              <w:right w:val="single" w:sz="4" w:space="0" w:color="000000"/>
            </w:tcBorders>
          </w:tcPr>
          <w:p w:rsidR="008B61FB" w:rsidRDefault="004B0646">
            <w:pPr>
              <w:spacing w:after="0"/>
              <w:ind w:left="38"/>
            </w:pPr>
            <w:r>
              <w:rPr>
                <w:rFonts w:ascii="Times New Roman" w:eastAsia="Times New Roman" w:hAnsi="Times New Roman" w:cs="Times New Roman"/>
                <w:b/>
                <w:sz w:val="18"/>
              </w:rPr>
              <w:t xml:space="preserve"> </w:t>
            </w:r>
          </w:p>
          <w:p w:rsidR="008B61FB" w:rsidRDefault="004B0646">
            <w:pPr>
              <w:spacing w:after="0"/>
              <w:ind w:left="38"/>
            </w:pPr>
            <w:r>
              <w:rPr>
                <w:rFonts w:ascii="Times New Roman" w:eastAsia="Times New Roman" w:hAnsi="Times New Roman" w:cs="Times New Roman"/>
                <w:b/>
                <w:sz w:val="18"/>
              </w:rPr>
              <w:t xml:space="preserve">YER </w:t>
            </w:r>
          </w:p>
        </w:tc>
        <w:tc>
          <w:tcPr>
            <w:tcW w:w="6805" w:type="dxa"/>
            <w:gridSpan w:val="2"/>
            <w:tcBorders>
              <w:top w:val="single" w:sz="4" w:space="0" w:color="000000"/>
              <w:left w:val="single" w:sz="4" w:space="0" w:color="000000"/>
              <w:bottom w:val="single" w:sz="4" w:space="0" w:color="000000"/>
              <w:right w:val="single" w:sz="4" w:space="0" w:color="000000"/>
            </w:tcBorders>
          </w:tcPr>
          <w:p w:rsidR="008B61FB" w:rsidRDefault="004B0646">
            <w:pPr>
              <w:spacing w:after="22"/>
              <w:ind w:left="41"/>
            </w:pPr>
            <w:r>
              <w:rPr>
                <w:rFonts w:ascii="Times New Roman" w:eastAsia="Times New Roman" w:hAnsi="Times New Roman" w:cs="Times New Roman"/>
                <w:b/>
                <w:sz w:val="18"/>
              </w:rPr>
              <w:t xml:space="preserve"> </w:t>
            </w:r>
          </w:p>
          <w:p w:rsidR="008B61FB" w:rsidRDefault="004B0646">
            <w:pPr>
              <w:spacing w:after="0"/>
              <w:ind w:left="41"/>
            </w:pPr>
            <w:r>
              <w:rPr>
                <w:rFonts w:ascii="Times New Roman" w:eastAsia="Times New Roman" w:hAnsi="Times New Roman" w:cs="Times New Roman"/>
                <w:b/>
                <w:sz w:val="18"/>
              </w:rPr>
              <w:t xml:space="preserve">FIRAT MAH. YAŞAR KERMAL CAD. VALİLİK HİZMET BİNASI KAT:4 / AĞRI </w:t>
            </w:r>
          </w:p>
        </w:tc>
      </w:tr>
      <w:tr w:rsidR="008B61FB">
        <w:trPr>
          <w:trHeight w:val="446"/>
        </w:trPr>
        <w:tc>
          <w:tcPr>
            <w:tcW w:w="3685" w:type="dxa"/>
            <w:tcBorders>
              <w:top w:val="single" w:sz="4" w:space="0" w:color="000000"/>
              <w:left w:val="single" w:sz="4" w:space="0" w:color="000000"/>
              <w:bottom w:val="single" w:sz="4" w:space="0" w:color="000000"/>
              <w:right w:val="single" w:sz="4" w:space="0" w:color="000000"/>
            </w:tcBorders>
          </w:tcPr>
          <w:p w:rsidR="008B61FB" w:rsidRDefault="004B0646">
            <w:pPr>
              <w:spacing w:after="17"/>
              <w:ind w:left="38"/>
            </w:pPr>
            <w:r>
              <w:rPr>
                <w:rFonts w:ascii="Times New Roman" w:eastAsia="Times New Roman" w:hAnsi="Times New Roman" w:cs="Times New Roman"/>
                <w:b/>
                <w:sz w:val="18"/>
              </w:rPr>
              <w:t xml:space="preserve"> </w:t>
            </w:r>
          </w:p>
          <w:p w:rsidR="008B61FB" w:rsidRDefault="004B0646">
            <w:pPr>
              <w:spacing w:after="0"/>
              <w:ind w:left="38"/>
            </w:pPr>
            <w:r>
              <w:rPr>
                <w:rFonts w:ascii="Times New Roman" w:eastAsia="Times New Roman" w:hAnsi="Times New Roman" w:cs="Times New Roman"/>
                <w:b/>
                <w:sz w:val="18"/>
              </w:rPr>
              <w:t xml:space="preserve">TARİH </w:t>
            </w:r>
          </w:p>
        </w:tc>
        <w:tc>
          <w:tcPr>
            <w:tcW w:w="6805" w:type="dxa"/>
            <w:gridSpan w:val="2"/>
            <w:tcBorders>
              <w:top w:val="single" w:sz="4" w:space="0" w:color="000000"/>
              <w:left w:val="single" w:sz="4" w:space="0" w:color="000000"/>
              <w:bottom w:val="single" w:sz="4" w:space="0" w:color="000000"/>
              <w:right w:val="single" w:sz="4" w:space="0" w:color="000000"/>
            </w:tcBorders>
          </w:tcPr>
          <w:p w:rsidR="008B61FB" w:rsidRDefault="004B0646">
            <w:pPr>
              <w:spacing w:after="0"/>
              <w:ind w:left="41"/>
            </w:pPr>
            <w:r>
              <w:rPr>
                <w:rFonts w:ascii="Times New Roman" w:eastAsia="Times New Roman" w:hAnsi="Times New Roman" w:cs="Times New Roman"/>
                <w:b/>
                <w:sz w:val="18"/>
              </w:rPr>
              <w:t xml:space="preserve"> </w:t>
            </w:r>
          </w:p>
          <w:p w:rsidR="008B61FB" w:rsidRDefault="004B0646">
            <w:pPr>
              <w:spacing w:after="0"/>
              <w:ind w:left="41"/>
            </w:pPr>
            <w:r>
              <w:rPr>
                <w:rFonts w:ascii="Times New Roman" w:eastAsia="Times New Roman" w:hAnsi="Times New Roman" w:cs="Times New Roman"/>
                <w:b/>
                <w:sz w:val="20"/>
              </w:rPr>
              <w:t xml:space="preserve">03/ 01/ 2024 </w:t>
            </w:r>
          </w:p>
        </w:tc>
      </w:tr>
      <w:tr w:rsidR="008B61FB">
        <w:trPr>
          <w:trHeight w:val="425"/>
        </w:trPr>
        <w:tc>
          <w:tcPr>
            <w:tcW w:w="3685" w:type="dxa"/>
            <w:tcBorders>
              <w:top w:val="single" w:sz="4" w:space="0" w:color="000000"/>
              <w:left w:val="single" w:sz="4" w:space="0" w:color="000000"/>
              <w:bottom w:val="single" w:sz="4" w:space="0" w:color="000000"/>
              <w:right w:val="single" w:sz="4" w:space="0" w:color="000000"/>
            </w:tcBorders>
          </w:tcPr>
          <w:p w:rsidR="008B61FB" w:rsidRDefault="004B0646">
            <w:pPr>
              <w:spacing w:after="0"/>
              <w:ind w:left="38"/>
            </w:pPr>
            <w:r>
              <w:rPr>
                <w:rFonts w:ascii="Times New Roman" w:eastAsia="Times New Roman" w:hAnsi="Times New Roman" w:cs="Times New Roman"/>
                <w:b/>
                <w:sz w:val="18"/>
              </w:rPr>
              <w:t xml:space="preserve"> </w:t>
            </w:r>
          </w:p>
          <w:p w:rsidR="008B61FB" w:rsidRDefault="004B0646">
            <w:pPr>
              <w:spacing w:after="0"/>
              <w:ind w:left="38"/>
            </w:pPr>
            <w:r>
              <w:rPr>
                <w:rFonts w:ascii="Times New Roman" w:eastAsia="Times New Roman" w:hAnsi="Times New Roman" w:cs="Times New Roman"/>
                <w:b/>
                <w:sz w:val="18"/>
              </w:rPr>
              <w:t xml:space="preserve">HABER KONUSU </w:t>
            </w:r>
          </w:p>
        </w:tc>
        <w:tc>
          <w:tcPr>
            <w:tcW w:w="6805" w:type="dxa"/>
            <w:gridSpan w:val="2"/>
            <w:tcBorders>
              <w:top w:val="single" w:sz="4" w:space="0" w:color="000000"/>
              <w:left w:val="single" w:sz="4" w:space="0" w:color="000000"/>
              <w:bottom w:val="single" w:sz="4" w:space="0" w:color="000000"/>
              <w:right w:val="single" w:sz="4" w:space="0" w:color="000000"/>
            </w:tcBorders>
          </w:tcPr>
          <w:p w:rsidR="008B61FB" w:rsidRDefault="004B0646">
            <w:pPr>
              <w:spacing w:after="19"/>
              <w:ind w:left="41"/>
            </w:pPr>
            <w:r>
              <w:rPr>
                <w:rFonts w:ascii="Times New Roman" w:eastAsia="Times New Roman" w:hAnsi="Times New Roman" w:cs="Times New Roman"/>
                <w:b/>
                <w:sz w:val="18"/>
              </w:rPr>
              <w:t xml:space="preserve"> </w:t>
            </w:r>
          </w:p>
          <w:p w:rsidR="008B61FB" w:rsidRDefault="004B0646">
            <w:pPr>
              <w:spacing w:after="0"/>
              <w:ind w:left="41"/>
            </w:pPr>
            <w:r>
              <w:rPr>
                <w:rFonts w:ascii="Times New Roman" w:eastAsia="Times New Roman" w:hAnsi="Times New Roman" w:cs="Times New Roman"/>
                <w:b/>
                <w:sz w:val="18"/>
              </w:rPr>
              <w:t xml:space="preserve">ÖLÇÜ VE ÖLÇÜ ALETLERİNİN PERİYODİK MUAYENELERİ </w:t>
            </w:r>
          </w:p>
        </w:tc>
      </w:tr>
      <w:tr w:rsidR="008B61FB">
        <w:trPr>
          <w:trHeight w:val="432"/>
        </w:trPr>
        <w:tc>
          <w:tcPr>
            <w:tcW w:w="3685" w:type="dxa"/>
            <w:tcBorders>
              <w:top w:val="single" w:sz="4" w:space="0" w:color="000000"/>
              <w:left w:val="single" w:sz="4" w:space="0" w:color="000000"/>
              <w:bottom w:val="single" w:sz="4" w:space="0" w:color="000000"/>
              <w:right w:val="single" w:sz="4" w:space="0" w:color="000000"/>
            </w:tcBorders>
          </w:tcPr>
          <w:p w:rsidR="008B61FB" w:rsidRDefault="004B0646">
            <w:pPr>
              <w:spacing w:after="19"/>
              <w:ind w:left="38"/>
            </w:pPr>
            <w:r>
              <w:rPr>
                <w:rFonts w:ascii="Times New Roman" w:eastAsia="Times New Roman" w:hAnsi="Times New Roman" w:cs="Times New Roman"/>
                <w:b/>
                <w:sz w:val="18"/>
              </w:rPr>
              <w:t xml:space="preserve"> </w:t>
            </w:r>
          </w:p>
          <w:p w:rsidR="008B61FB" w:rsidRDefault="004B0646">
            <w:pPr>
              <w:spacing w:after="0"/>
              <w:ind w:left="38"/>
            </w:pPr>
            <w:r>
              <w:rPr>
                <w:rFonts w:ascii="Times New Roman" w:eastAsia="Times New Roman" w:hAnsi="Times New Roman" w:cs="Times New Roman"/>
                <w:b/>
                <w:sz w:val="18"/>
              </w:rPr>
              <w:t xml:space="preserve">FAALİYET YÜRÜTÜLEN KURUM </w:t>
            </w:r>
          </w:p>
        </w:tc>
        <w:tc>
          <w:tcPr>
            <w:tcW w:w="6805" w:type="dxa"/>
            <w:gridSpan w:val="2"/>
            <w:tcBorders>
              <w:top w:val="single" w:sz="4" w:space="0" w:color="000000"/>
              <w:left w:val="single" w:sz="4" w:space="0" w:color="000000"/>
              <w:bottom w:val="single" w:sz="4" w:space="0" w:color="000000"/>
              <w:right w:val="single" w:sz="4" w:space="0" w:color="000000"/>
            </w:tcBorders>
          </w:tcPr>
          <w:p w:rsidR="008B61FB" w:rsidRDefault="004B0646">
            <w:pPr>
              <w:spacing w:after="19"/>
              <w:ind w:left="41"/>
            </w:pPr>
            <w:r>
              <w:rPr>
                <w:rFonts w:ascii="Times New Roman" w:eastAsia="Times New Roman" w:hAnsi="Times New Roman" w:cs="Times New Roman"/>
                <w:b/>
                <w:sz w:val="18"/>
              </w:rPr>
              <w:t xml:space="preserve"> </w:t>
            </w:r>
          </w:p>
          <w:p w:rsidR="008B61FB" w:rsidRDefault="004B0646">
            <w:pPr>
              <w:spacing w:after="0"/>
              <w:ind w:left="41"/>
            </w:pPr>
            <w:r>
              <w:rPr>
                <w:rFonts w:ascii="Times New Roman" w:eastAsia="Times New Roman" w:hAnsi="Times New Roman" w:cs="Times New Roman"/>
                <w:b/>
                <w:sz w:val="18"/>
              </w:rPr>
              <w:t xml:space="preserve">İL SANAYİ VE TEKNOLOJİ MÜDÜRLÜĞÜ </w:t>
            </w:r>
          </w:p>
        </w:tc>
      </w:tr>
      <w:tr w:rsidR="008B61FB">
        <w:trPr>
          <w:trHeight w:val="10360"/>
        </w:trPr>
        <w:tc>
          <w:tcPr>
            <w:tcW w:w="10490" w:type="dxa"/>
            <w:gridSpan w:val="3"/>
            <w:tcBorders>
              <w:top w:val="single" w:sz="4" w:space="0" w:color="000000"/>
              <w:left w:val="single" w:sz="4" w:space="0" w:color="000000"/>
              <w:bottom w:val="single" w:sz="4" w:space="0" w:color="000000"/>
              <w:right w:val="single" w:sz="4" w:space="0" w:color="000000"/>
            </w:tcBorders>
          </w:tcPr>
          <w:p w:rsidR="008B61FB" w:rsidRDefault="004B0646">
            <w:pPr>
              <w:ind w:left="708"/>
            </w:pPr>
            <w:r>
              <w:rPr>
                <w:rFonts w:ascii="Times New Roman" w:eastAsia="Times New Roman" w:hAnsi="Times New Roman" w:cs="Times New Roman"/>
                <w:color w:val="181818"/>
                <w:sz w:val="24"/>
              </w:rPr>
              <w:t xml:space="preserve"> </w:t>
            </w:r>
          </w:p>
          <w:p w:rsidR="008B61FB" w:rsidRDefault="004B0646">
            <w:pPr>
              <w:spacing w:after="115"/>
              <w:ind w:left="708"/>
            </w:pPr>
            <w:r>
              <w:rPr>
                <w:rFonts w:ascii="Times New Roman" w:eastAsia="Times New Roman" w:hAnsi="Times New Roman" w:cs="Times New Roman"/>
                <w:color w:val="181818"/>
                <w:sz w:val="24"/>
              </w:rPr>
              <w:t xml:space="preserve">3516 Sayılı Ölçüler ve Ayar Kanunu gereğince; milli ekonomi ve ticaretinin gereklerine ve kamu </w:t>
            </w:r>
          </w:p>
          <w:p w:rsidR="008B61FB" w:rsidRDefault="004B0646">
            <w:pPr>
              <w:spacing w:after="0" w:line="397" w:lineRule="auto"/>
              <w:jc w:val="both"/>
            </w:pPr>
            <w:proofErr w:type="gramStart"/>
            <w:r>
              <w:rPr>
                <w:rFonts w:ascii="Times New Roman" w:eastAsia="Times New Roman" w:hAnsi="Times New Roman" w:cs="Times New Roman"/>
                <w:color w:val="181818"/>
                <w:sz w:val="24"/>
              </w:rPr>
              <w:t>yararına</w:t>
            </w:r>
            <w:proofErr w:type="gramEnd"/>
            <w:r>
              <w:rPr>
                <w:rFonts w:ascii="Times New Roman" w:eastAsia="Times New Roman" w:hAnsi="Times New Roman" w:cs="Times New Roman"/>
                <w:color w:val="181818"/>
                <w:sz w:val="24"/>
              </w:rPr>
              <w:t xml:space="preserve"> uygun olarak kullanılan her türlü ölçü ve ölçü aletlerinin doğru, ayarlı ve uluslararası birimler sistemine uygun olarak imal edilmesi ve kullanılması gerekmektedir. </w:t>
            </w:r>
          </w:p>
          <w:p w:rsidR="008B61FB" w:rsidRDefault="004B0646">
            <w:pPr>
              <w:spacing w:after="112"/>
              <w:ind w:left="708"/>
            </w:pPr>
            <w:r>
              <w:rPr>
                <w:rFonts w:ascii="Times New Roman" w:eastAsia="Times New Roman" w:hAnsi="Times New Roman" w:cs="Times New Roman"/>
                <w:color w:val="4F4F4F"/>
                <w:sz w:val="24"/>
              </w:rPr>
              <w:t xml:space="preserve">Ölçü ve ölçü aletlerinin muayenelerine ilişkin iş ve işlemler </w:t>
            </w:r>
            <w:r>
              <w:rPr>
                <w:rFonts w:ascii="Times New Roman" w:eastAsia="Times New Roman" w:hAnsi="Times New Roman" w:cs="Times New Roman"/>
                <w:b/>
                <w:color w:val="4F4F4F"/>
                <w:sz w:val="24"/>
              </w:rPr>
              <w:t xml:space="preserve">3516 </w:t>
            </w:r>
            <w:r>
              <w:rPr>
                <w:rFonts w:ascii="Times New Roman" w:eastAsia="Times New Roman" w:hAnsi="Times New Roman" w:cs="Times New Roman"/>
                <w:color w:val="4F4F4F"/>
                <w:sz w:val="24"/>
              </w:rPr>
              <w:t>sayılı Ölçüle</w:t>
            </w:r>
            <w:r>
              <w:rPr>
                <w:rFonts w:ascii="Times New Roman" w:eastAsia="Times New Roman" w:hAnsi="Times New Roman" w:cs="Times New Roman"/>
                <w:color w:val="4F4F4F"/>
                <w:sz w:val="24"/>
              </w:rPr>
              <w:t>r ve Ayar Kanunu</w:t>
            </w:r>
            <w:r>
              <w:rPr>
                <w:rFonts w:ascii="Times New Roman" w:eastAsia="Times New Roman" w:hAnsi="Times New Roman" w:cs="Times New Roman"/>
                <w:b/>
                <w:color w:val="4F4F4F"/>
                <w:sz w:val="24"/>
              </w:rPr>
              <w:t xml:space="preserve"> </w:t>
            </w:r>
            <w:r>
              <w:rPr>
                <w:rFonts w:ascii="Times New Roman" w:eastAsia="Times New Roman" w:hAnsi="Times New Roman" w:cs="Times New Roman"/>
                <w:color w:val="4F4F4F"/>
                <w:sz w:val="24"/>
              </w:rPr>
              <w:t xml:space="preserve">ve </w:t>
            </w:r>
          </w:p>
          <w:p w:rsidR="008B61FB" w:rsidRDefault="004B0646">
            <w:pPr>
              <w:spacing w:after="0" w:line="378" w:lineRule="auto"/>
              <w:ind w:right="64"/>
              <w:jc w:val="both"/>
            </w:pPr>
            <w:proofErr w:type="gramStart"/>
            <w:r>
              <w:rPr>
                <w:rFonts w:ascii="Times New Roman" w:eastAsia="Times New Roman" w:hAnsi="Times New Roman" w:cs="Times New Roman"/>
                <w:color w:val="4F4F4F"/>
                <w:sz w:val="24"/>
              </w:rPr>
              <w:t>bu</w:t>
            </w:r>
            <w:proofErr w:type="gramEnd"/>
            <w:r>
              <w:rPr>
                <w:rFonts w:ascii="Times New Roman" w:eastAsia="Times New Roman" w:hAnsi="Times New Roman" w:cs="Times New Roman"/>
                <w:color w:val="4F4F4F"/>
                <w:sz w:val="24"/>
              </w:rPr>
              <w:t xml:space="preserve"> Kanun hükümlerine göre çıkarılan yönetmelikler çerçevesinde yetki alanına göre İl Sanayi ve Teknoloji Müdürlüğü, Grup Merkezi Belediye Ölçü ve Ayar Memurlukları ile Sanayi ve Teknoloji Bakanlığınca yetkilendirilen Yetkili Muayene Servislerince yürütülme</w:t>
            </w:r>
            <w:r>
              <w:rPr>
                <w:rFonts w:ascii="Times New Roman" w:eastAsia="Times New Roman" w:hAnsi="Times New Roman" w:cs="Times New Roman"/>
                <w:color w:val="4F4F4F"/>
                <w:sz w:val="24"/>
              </w:rPr>
              <w:t xml:space="preserve">ktedir. </w:t>
            </w:r>
          </w:p>
          <w:p w:rsidR="008B61FB" w:rsidRDefault="004B0646">
            <w:pPr>
              <w:ind w:left="708"/>
            </w:pPr>
            <w:r>
              <w:rPr>
                <w:rFonts w:ascii="Times New Roman" w:eastAsia="Times New Roman" w:hAnsi="Times New Roman" w:cs="Times New Roman"/>
                <w:color w:val="4F4F4F"/>
                <w:sz w:val="24"/>
              </w:rPr>
              <w:t xml:space="preserve">Bu kanun kapsamında yapılacak denetimlerde ölçü ve ölçü aleti kullanıcılarının cezai duruma </w:t>
            </w:r>
          </w:p>
          <w:p w:rsidR="008B61FB" w:rsidRDefault="004B0646">
            <w:pPr>
              <w:spacing w:after="0" w:line="399" w:lineRule="auto"/>
              <w:jc w:val="both"/>
            </w:pPr>
            <w:proofErr w:type="gramStart"/>
            <w:r>
              <w:rPr>
                <w:rFonts w:ascii="Times New Roman" w:eastAsia="Times New Roman" w:hAnsi="Times New Roman" w:cs="Times New Roman"/>
                <w:color w:val="4F4F4F"/>
                <w:sz w:val="24"/>
              </w:rPr>
              <w:t>düşmemeleri</w:t>
            </w:r>
            <w:proofErr w:type="gramEnd"/>
            <w:r>
              <w:rPr>
                <w:rFonts w:ascii="Times New Roman" w:eastAsia="Times New Roman" w:hAnsi="Times New Roman" w:cs="Times New Roman"/>
                <w:color w:val="4F4F4F"/>
                <w:sz w:val="24"/>
              </w:rPr>
              <w:t xml:space="preserve"> için; ölçü ve tartı aletlerinin periyodik muayene ve damga müracaatlarını </w:t>
            </w:r>
            <w:r>
              <w:rPr>
                <w:rFonts w:ascii="Times New Roman" w:eastAsia="Times New Roman" w:hAnsi="Times New Roman" w:cs="Times New Roman"/>
                <w:b/>
                <w:color w:val="4F4F4F"/>
                <w:sz w:val="24"/>
              </w:rPr>
              <w:t>29 Şubat 2024</w:t>
            </w:r>
            <w:r>
              <w:rPr>
                <w:rFonts w:ascii="Times New Roman" w:eastAsia="Times New Roman" w:hAnsi="Times New Roman" w:cs="Times New Roman"/>
                <w:color w:val="4F4F4F"/>
                <w:sz w:val="24"/>
              </w:rPr>
              <w:t xml:space="preserve"> tarihine kadar tamamlamaları gerekmektedir. </w:t>
            </w:r>
          </w:p>
          <w:p w:rsidR="008B61FB" w:rsidRDefault="004B0646">
            <w:pPr>
              <w:spacing w:after="158"/>
              <w:ind w:left="708"/>
            </w:pPr>
            <w:r>
              <w:rPr>
                <w:rFonts w:ascii="Times New Roman" w:eastAsia="Times New Roman" w:hAnsi="Times New Roman" w:cs="Times New Roman"/>
                <w:b/>
                <w:sz w:val="24"/>
              </w:rPr>
              <w:t>Bu itibar</w:t>
            </w:r>
            <w:r>
              <w:rPr>
                <w:rFonts w:ascii="Times New Roman" w:eastAsia="Times New Roman" w:hAnsi="Times New Roman" w:cs="Times New Roman"/>
                <w:b/>
                <w:sz w:val="24"/>
              </w:rPr>
              <w:t xml:space="preserve">la; </w:t>
            </w:r>
          </w:p>
          <w:p w:rsidR="008B61FB" w:rsidRDefault="004B0646">
            <w:pPr>
              <w:spacing w:after="112"/>
              <w:ind w:left="708"/>
            </w:pPr>
            <w:r>
              <w:rPr>
                <w:rFonts w:ascii="Times New Roman" w:eastAsia="Times New Roman" w:hAnsi="Times New Roman" w:cs="Times New Roman"/>
                <w:b/>
                <w:sz w:val="24"/>
              </w:rPr>
              <w:t>2 yıllık periyodik muayene süresi olan;</w:t>
            </w:r>
            <w:r>
              <w:rPr>
                <w:rFonts w:ascii="Times New Roman" w:eastAsia="Times New Roman" w:hAnsi="Times New Roman" w:cs="Times New Roman"/>
                <w:sz w:val="24"/>
              </w:rPr>
              <w:t xml:space="preserve"> Akaryakıt sayaçları, LPG sayaçları, CNG sayaçları, </w:t>
            </w:r>
            <w:proofErr w:type="spellStart"/>
            <w:r>
              <w:rPr>
                <w:rFonts w:ascii="Times New Roman" w:eastAsia="Times New Roman" w:hAnsi="Times New Roman" w:cs="Times New Roman"/>
                <w:sz w:val="24"/>
              </w:rPr>
              <w:t>Adblue</w:t>
            </w:r>
            <w:proofErr w:type="spellEnd"/>
            <w:r>
              <w:rPr>
                <w:rFonts w:ascii="Times New Roman" w:eastAsia="Times New Roman" w:hAnsi="Times New Roman" w:cs="Times New Roman"/>
                <w:sz w:val="24"/>
              </w:rPr>
              <w:t xml:space="preserve"> </w:t>
            </w:r>
          </w:p>
          <w:p w:rsidR="008B61FB" w:rsidRDefault="004B0646">
            <w:pPr>
              <w:spacing w:after="40" w:line="363" w:lineRule="auto"/>
              <w:ind w:right="64"/>
              <w:jc w:val="both"/>
            </w:pPr>
            <w:r>
              <w:rPr>
                <w:rFonts w:ascii="Times New Roman" w:eastAsia="Times New Roman" w:hAnsi="Times New Roman" w:cs="Times New Roman"/>
                <w:sz w:val="24"/>
              </w:rPr>
              <w:t>sayaçları,  mobil tanker sayaçları, akaryakıt hacim ölçek ve kapları, Motorlu taşıt lastiklerinin hava basıncı ölçümünde kullanılan cihazlar, 5 kg’dan y</w:t>
            </w:r>
            <w:r>
              <w:rPr>
                <w:rFonts w:ascii="Times New Roman" w:eastAsia="Times New Roman" w:hAnsi="Times New Roman" w:cs="Times New Roman"/>
                <w:sz w:val="24"/>
              </w:rPr>
              <w:t xml:space="preserve">ukarı kütle ölçüleri, yük ve sarnıçlı vagonlar, kapasitesi 2000 kg’ın üzerinde otomatik olmayan tartı aletleri,  aks kantarları,  hassas kütle ölçüleri  için muayene başvuruları </w:t>
            </w:r>
            <w:hyperlink r:id="rId5">
              <w:r>
                <w:rPr>
                  <w:rFonts w:ascii="Times New Roman" w:eastAsia="Times New Roman" w:hAnsi="Times New Roman" w:cs="Times New Roman"/>
                  <w:b/>
                  <w:sz w:val="24"/>
                  <w:u w:val="single" w:color="000000"/>
                </w:rPr>
                <w:t>https://basvuruportal.tse</w:t>
              </w:r>
              <w:r>
                <w:rPr>
                  <w:rFonts w:ascii="Times New Roman" w:eastAsia="Times New Roman" w:hAnsi="Times New Roman" w:cs="Times New Roman"/>
                  <w:b/>
                  <w:sz w:val="24"/>
                  <w:u w:val="single" w:color="000000"/>
                </w:rPr>
                <w:t>.org.tr</w:t>
              </w:r>
            </w:hyperlink>
            <w:hyperlink r:id="rId6">
              <w:r>
                <w:rPr>
                  <w:rFonts w:ascii="Times New Roman" w:eastAsia="Times New Roman" w:hAnsi="Times New Roman" w:cs="Times New Roman"/>
                  <w:b/>
                  <w:sz w:val="24"/>
                </w:rPr>
                <w:t xml:space="preserve"> </w:t>
              </w:r>
            </w:hyperlink>
            <w:r>
              <w:rPr>
                <w:rFonts w:ascii="Times New Roman" w:eastAsia="Times New Roman" w:hAnsi="Times New Roman" w:cs="Times New Roman"/>
                <w:sz w:val="24"/>
              </w:rPr>
              <w:t xml:space="preserve">adresli Başvuru </w:t>
            </w:r>
            <w:proofErr w:type="spellStart"/>
            <w:r>
              <w:rPr>
                <w:rFonts w:ascii="Times New Roman" w:eastAsia="Times New Roman" w:hAnsi="Times New Roman" w:cs="Times New Roman"/>
                <w:sz w:val="24"/>
              </w:rPr>
              <w:t>Portalı</w:t>
            </w:r>
            <w:proofErr w:type="spellEnd"/>
            <w:r>
              <w:rPr>
                <w:rFonts w:ascii="Times New Roman" w:eastAsia="Times New Roman" w:hAnsi="Times New Roman" w:cs="Times New Roman"/>
                <w:sz w:val="24"/>
              </w:rPr>
              <w:t xml:space="preserve"> üzerinden </w:t>
            </w:r>
            <w:r>
              <w:rPr>
                <w:rFonts w:ascii="Times New Roman" w:eastAsia="Times New Roman" w:hAnsi="Times New Roman" w:cs="Times New Roman"/>
                <w:b/>
                <w:sz w:val="24"/>
              </w:rPr>
              <w:t>29/02/2024</w:t>
            </w:r>
            <w:r>
              <w:rPr>
                <w:rFonts w:ascii="Times New Roman" w:eastAsia="Times New Roman" w:hAnsi="Times New Roman" w:cs="Times New Roman"/>
                <w:sz w:val="24"/>
              </w:rPr>
              <w:t xml:space="preserve"> tarihine kadar </w:t>
            </w:r>
            <w:hyperlink r:id="rId7">
              <w:r>
                <w:rPr>
                  <w:rFonts w:ascii="Times New Roman" w:eastAsia="Times New Roman" w:hAnsi="Times New Roman" w:cs="Times New Roman"/>
                  <w:b/>
                  <w:sz w:val="24"/>
                  <w:u w:val="single" w:color="000000"/>
                </w:rPr>
                <w:t>Türk</w:t>
              </w:r>
            </w:hyperlink>
            <w:hyperlink r:id="rId8">
              <w:r>
                <w:rPr>
                  <w:rFonts w:ascii="Times New Roman" w:eastAsia="Times New Roman" w:hAnsi="Times New Roman" w:cs="Times New Roman"/>
                  <w:b/>
                  <w:sz w:val="24"/>
                </w:rPr>
                <w:t xml:space="preserve"> </w:t>
              </w:r>
            </w:hyperlink>
          </w:p>
          <w:p w:rsidR="008B61FB" w:rsidRDefault="004B0646">
            <w:pPr>
              <w:spacing w:after="164"/>
            </w:pPr>
            <w:hyperlink r:id="rId9">
              <w:proofErr w:type="spellStart"/>
              <w:r>
                <w:rPr>
                  <w:rFonts w:ascii="Times New Roman" w:eastAsia="Times New Roman" w:hAnsi="Times New Roman" w:cs="Times New Roman"/>
                  <w:b/>
                  <w:sz w:val="24"/>
                  <w:u w:val="single" w:color="000000"/>
                </w:rPr>
                <w:t>Standardları</w:t>
              </w:r>
              <w:proofErr w:type="spellEnd"/>
              <w:r>
                <w:rPr>
                  <w:rFonts w:ascii="Times New Roman" w:eastAsia="Times New Roman" w:hAnsi="Times New Roman" w:cs="Times New Roman"/>
                  <w:b/>
                  <w:sz w:val="24"/>
                  <w:u w:val="single" w:color="000000"/>
                </w:rPr>
                <w:t xml:space="preserve"> Enstitüsü</w:t>
              </w:r>
            </w:hyperlink>
            <w:hyperlink r:id="rId10">
              <w:r>
                <w:rPr>
                  <w:rFonts w:ascii="Times New Roman" w:eastAsia="Times New Roman" w:hAnsi="Times New Roman" w:cs="Times New Roman"/>
                  <w:b/>
                  <w:sz w:val="24"/>
                </w:rPr>
                <w:t xml:space="preserve"> </w:t>
              </w:r>
            </w:hyperlink>
            <w:r>
              <w:rPr>
                <w:rFonts w:ascii="Times New Roman" w:eastAsia="Times New Roman" w:hAnsi="Times New Roman" w:cs="Times New Roman"/>
                <w:b/>
                <w:sz w:val="24"/>
              </w:rPr>
              <w:t xml:space="preserve">(TSE)’ </w:t>
            </w:r>
            <w:r>
              <w:rPr>
                <w:rFonts w:ascii="Times New Roman" w:eastAsia="Times New Roman" w:hAnsi="Times New Roman" w:cs="Times New Roman"/>
                <w:sz w:val="24"/>
              </w:rPr>
              <w:t xml:space="preserve">ne elektronik ortamda yapılması gerekmektedir.  </w:t>
            </w:r>
          </w:p>
          <w:p w:rsidR="008B61FB" w:rsidRDefault="004B0646">
            <w:pPr>
              <w:spacing w:after="112"/>
              <w:ind w:left="708"/>
            </w:pPr>
            <w:r>
              <w:rPr>
                <w:rFonts w:ascii="Times New Roman" w:eastAsia="Times New Roman" w:hAnsi="Times New Roman" w:cs="Times New Roman"/>
                <w:b/>
                <w:sz w:val="24"/>
              </w:rPr>
              <w:t>2 yıllık periyodik muayene süresi olan;</w:t>
            </w:r>
            <w:r>
              <w:rPr>
                <w:rFonts w:ascii="Times New Roman" w:eastAsia="Times New Roman" w:hAnsi="Times New Roman" w:cs="Times New Roman"/>
                <w:sz w:val="24"/>
              </w:rPr>
              <w:t xml:space="preserve"> Kapasitesi</w:t>
            </w:r>
            <w:r>
              <w:rPr>
                <w:rFonts w:ascii="Times New Roman" w:eastAsia="Times New Roman" w:hAnsi="Times New Roman" w:cs="Times New Roman"/>
                <w:sz w:val="24"/>
              </w:rPr>
              <w:t xml:space="preserve"> 2000 kg altında olan I, II, III ve IV. sınıf otomatik </w:t>
            </w:r>
          </w:p>
          <w:p w:rsidR="008B61FB" w:rsidRDefault="004B0646">
            <w:pPr>
              <w:spacing w:after="7" w:line="392" w:lineRule="auto"/>
              <w:jc w:val="both"/>
            </w:pPr>
            <w:proofErr w:type="gramStart"/>
            <w:r>
              <w:rPr>
                <w:rFonts w:ascii="Times New Roman" w:eastAsia="Times New Roman" w:hAnsi="Times New Roman" w:cs="Times New Roman"/>
                <w:sz w:val="24"/>
              </w:rPr>
              <w:t>olmayan</w:t>
            </w:r>
            <w:proofErr w:type="gramEnd"/>
            <w:r>
              <w:rPr>
                <w:rFonts w:ascii="Times New Roman" w:eastAsia="Times New Roman" w:hAnsi="Times New Roman" w:cs="Times New Roman"/>
                <w:sz w:val="24"/>
              </w:rPr>
              <w:t xml:space="preserve"> elektronik tartı aletleri, okuma ve çıktı verebilme özelliği ile yazarkasa veya başka bir cihaza bağlı çalışma özelliği bulunan tartı aletleri ile otomatik tartı aletleri için muayene başvuruları </w:t>
            </w:r>
            <w:r>
              <w:rPr>
                <w:rFonts w:ascii="Times New Roman" w:eastAsia="Times New Roman" w:hAnsi="Times New Roman" w:cs="Times New Roman"/>
                <w:b/>
                <w:sz w:val="24"/>
              </w:rPr>
              <w:t>29/02/2024</w:t>
            </w:r>
            <w:r>
              <w:rPr>
                <w:rFonts w:ascii="Times New Roman" w:eastAsia="Times New Roman" w:hAnsi="Times New Roman" w:cs="Times New Roman"/>
                <w:sz w:val="24"/>
              </w:rPr>
              <w:t xml:space="preserve"> tarihine </w:t>
            </w:r>
          </w:p>
          <w:p w:rsidR="008B61FB" w:rsidRDefault="004B0646">
            <w:pPr>
              <w:spacing w:after="162"/>
            </w:pPr>
            <w:proofErr w:type="gramStart"/>
            <w:r>
              <w:rPr>
                <w:rFonts w:ascii="Times New Roman" w:eastAsia="Times New Roman" w:hAnsi="Times New Roman" w:cs="Times New Roman"/>
                <w:sz w:val="24"/>
              </w:rPr>
              <w:t>kadar</w:t>
            </w:r>
            <w:proofErr w:type="gramEnd"/>
            <w:r>
              <w:rPr>
                <w:rFonts w:ascii="Times New Roman" w:eastAsia="Times New Roman" w:hAnsi="Times New Roman" w:cs="Times New Roman"/>
                <w:sz w:val="24"/>
              </w:rPr>
              <w:t xml:space="preserve"> Bakanlığımızdan yetki alm</w:t>
            </w:r>
            <w:r>
              <w:rPr>
                <w:rFonts w:ascii="Times New Roman" w:eastAsia="Times New Roman" w:hAnsi="Times New Roman" w:cs="Times New Roman"/>
                <w:sz w:val="24"/>
              </w:rPr>
              <w:t xml:space="preserve">ış </w:t>
            </w:r>
            <w:r>
              <w:rPr>
                <w:rFonts w:ascii="Times New Roman" w:eastAsia="Times New Roman" w:hAnsi="Times New Roman" w:cs="Times New Roman"/>
                <w:b/>
                <w:sz w:val="24"/>
              </w:rPr>
              <w:t>Tartı Aletleri Yetkili Muayene</w:t>
            </w:r>
            <w:r>
              <w:rPr>
                <w:rFonts w:ascii="Times New Roman" w:eastAsia="Times New Roman" w:hAnsi="Times New Roman" w:cs="Times New Roman"/>
                <w:sz w:val="24"/>
              </w:rPr>
              <w:t xml:space="preserve"> Servislerine yapılması gerekmektedir. </w:t>
            </w:r>
          </w:p>
          <w:p w:rsidR="008B61FB" w:rsidRDefault="004B0646">
            <w:pPr>
              <w:spacing w:after="0"/>
              <w:ind w:right="63" w:firstLine="708"/>
              <w:jc w:val="both"/>
            </w:pPr>
            <w:r>
              <w:rPr>
                <w:rFonts w:ascii="Times New Roman" w:eastAsia="Times New Roman" w:hAnsi="Times New Roman" w:cs="Times New Roman"/>
                <w:sz w:val="24"/>
              </w:rPr>
              <w:t xml:space="preserve">* Hız İhlal Tespit Donanımları, Egzoz gazı emisyon ölçüm cihazları her yıl, Isı Sayaçları muayene başvuruları beş yılda bir </w:t>
            </w:r>
            <w:r>
              <w:rPr>
                <w:rFonts w:ascii="Times New Roman" w:eastAsia="Times New Roman" w:hAnsi="Times New Roman" w:cs="Times New Roman"/>
                <w:b/>
                <w:sz w:val="24"/>
              </w:rPr>
              <w:t>29/02/2024</w:t>
            </w:r>
            <w:r>
              <w:rPr>
                <w:rFonts w:ascii="Times New Roman" w:eastAsia="Times New Roman" w:hAnsi="Times New Roman" w:cs="Times New Roman"/>
                <w:sz w:val="24"/>
              </w:rPr>
              <w:t xml:space="preserve"> tarihine kadar Bakanlığımızdan yetki almış </w:t>
            </w:r>
            <w:r>
              <w:rPr>
                <w:rFonts w:ascii="Times New Roman" w:eastAsia="Times New Roman" w:hAnsi="Times New Roman" w:cs="Times New Roman"/>
                <w:b/>
                <w:sz w:val="24"/>
              </w:rPr>
              <w:t>Muaye</w:t>
            </w:r>
            <w:r>
              <w:rPr>
                <w:rFonts w:ascii="Times New Roman" w:eastAsia="Times New Roman" w:hAnsi="Times New Roman" w:cs="Times New Roman"/>
                <w:b/>
                <w:sz w:val="24"/>
              </w:rPr>
              <w:t>ne Servislerine</w:t>
            </w:r>
            <w:r>
              <w:rPr>
                <w:rFonts w:ascii="Times New Roman" w:eastAsia="Times New Roman" w:hAnsi="Times New Roman" w:cs="Times New Roman"/>
                <w:sz w:val="24"/>
              </w:rPr>
              <w:t xml:space="preserve"> yapılması gerekmektedir. </w:t>
            </w:r>
          </w:p>
        </w:tc>
      </w:tr>
      <w:tr w:rsidR="008B61FB">
        <w:trPr>
          <w:trHeight w:val="12540"/>
        </w:trPr>
        <w:tc>
          <w:tcPr>
            <w:tcW w:w="10490" w:type="dxa"/>
            <w:gridSpan w:val="3"/>
            <w:tcBorders>
              <w:top w:val="single" w:sz="4" w:space="0" w:color="000000"/>
              <w:left w:val="single" w:sz="4" w:space="0" w:color="000000"/>
              <w:bottom w:val="single" w:sz="4" w:space="0" w:color="000000"/>
              <w:right w:val="single" w:sz="4" w:space="0" w:color="000000"/>
            </w:tcBorders>
          </w:tcPr>
          <w:p w:rsidR="008B61FB" w:rsidRDefault="004B0646">
            <w:pPr>
              <w:spacing w:after="149"/>
              <w:ind w:left="708"/>
            </w:pPr>
            <w:r>
              <w:rPr>
                <w:rFonts w:ascii="Times New Roman" w:eastAsia="Times New Roman" w:hAnsi="Times New Roman" w:cs="Times New Roman"/>
                <w:sz w:val="24"/>
              </w:rPr>
              <w:lastRenderedPageBreak/>
              <w:t xml:space="preserve"> </w:t>
            </w:r>
          </w:p>
          <w:p w:rsidR="008B61FB" w:rsidRDefault="004B0646">
            <w:pPr>
              <w:numPr>
                <w:ilvl w:val="0"/>
                <w:numId w:val="1"/>
              </w:numPr>
              <w:spacing w:after="162"/>
              <w:ind w:left="897" w:hanging="189"/>
            </w:pPr>
            <w:proofErr w:type="spellStart"/>
            <w:r>
              <w:rPr>
                <w:rFonts w:ascii="Times New Roman" w:eastAsia="Times New Roman" w:hAnsi="Times New Roman" w:cs="Times New Roman"/>
                <w:sz w:val="24"/>
              </w:rPr>
              <w:t>Takograf</w:t>
            </w:r>
            <w:proofErr w:type="spellEnd"/>
            <w:r>
              <w:rPr>
                <w:rFonts w:ascii="Times New Roman" w:eastAsia="Times New Roman" w:hAnsi="Times New Roman" w:cs="Times New Roman"/>
                <w:sz w:val="24"/>
              </w:rPr>
              <w:t xml:space="preserve"> Cihazlarının muayene başvuruları ilgili </w:t>
            </w:r>
            <w:r>
              <w:rPr>
                <w:rFonts w:ascii="Times New Roman" w:eastAsia="Times New Roman" w:hAnsi="Times New Roman" w:cs="Times New Roman"/>
                <w:b/>
                <w:sz w:val="24"/>
              </w:rPr>
              <w:t>Muayene Servislerine</w:t>
            </w:r>
            <w:r>
              <w:rPr>
                <w:rFonts w:ascii="Times New Roman" w:eastAsia="Times New Roman" w:hAnsi="Times New Roman" w:cs="Times New Roman"/>
                <w:sz w:val="24"/>
              </w:rPr>
              <w:t xml:space="preserve"> en son muayene gününe </w:t>
            </w:r>
          </w:p>
          <w:p w:rsidR="008B61FB" w:rsidRDefault="004B0646">
            <w:pPr>
              <w:spacing w:after="142"/>
            </w:pPr>
            <w:proofErr w:type="gramStart"/>
            <w:r>
              <w:rPr>
                <w:rFonts w:ascii="Times New Roman" w:eastAsia="Times New Roman" w:hAnsi="Times New Roman" w:cs="Times New Roman"/>
                <w:sz w:val="24"/>
              </w:rPr>
              <w:t>göre</w:t>
            </w:r>
            <w:proofErr w:type="gramEnd"/>
            <w:r>
              <w:rPr>
                <w:rFonts w:ascii="Times New Roman" w:eastAsia="Times New Roman" w:hAnsi="Times New Roman" w:cs="Times New Roman"/>
                <w:sz w:val="24"/>
              </w:rPr>
              <w:t xml:space="preserve"> iki yılda bir yapılması gerekmektedir. </w:t>
            </w:r>
          </w:p>
          <w:p w:rsidR="008B61FB" w:rsidRDefault="004B0646">
            <w:pPr>
              <w:numPr>
                <w:ilvl w:val="0"/>
                <w:numId w:val="1"/>
              </w:numPr>
              <w:spacing w:after="162"/>
              <w:ind w:left="897" w:hanging="189"/>
            </w:pPr>
            <w:r>
              <w:rPr>
                <w:rFonts w:ascii="Times New Roman" w:eastAsia="Times New Roman" w:hAnsi="Times New Roman" w:cs="Times New Roman"/>
                <w:sz w:val="24"/>
              </w:rPr>
              <w:t xml:space="preserve">Taksimetre Cihazlarının muayene başvuruları ilgili </w:t>
            </w:r>
            <w:r>
              <w:rPr>
                <w:rFonts w:ascii="Times New Roman" w:eastAsia="Times New Roman" w:hAnsi="Times New Roman" w:cs="Times New Roman"/>
                <w:b/>
                <w:sz w:val="24"/>
              </w:rPr>
              <w:t>Muayene Servislerine</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en son muayene gününe </w:t>
            </w:r>
          </w:p>
          <w:p w:rsidR="008B61FB" w:rsidRDefault="004B0646">
            <w:pPr>
              <w:spacing w:after="161"/>
            </w:pPr>
            <w:proofErr w:type="gramStart"/>
            <w:r>
              <w:rPr>
                <w:rFonts w:ascii="Times New Roman" w:eastAsia="Times New Roman" w:hAnsi="Times New Roman" w:cs="Times New Roman"/>
                <w:sz w:val="24"/>
              </w:rPr>
              <w:t>göre</w:t>
            </w:r>
            <w:proofErr w:type="gramEnd"/>
            <w:r>
              <w:rPr>
                <w:rFonts w:ascii="Times New Roman" w:eastAsia="Times New Roman" w:hAnsi="Times New Roman" w:cs="Times New Roman"/>
                <w:sz w:val="24"/>
              </w:rPr>
              <w:t xml:space="preserve"> bir yılda bir (ya da tarife değişikliğinde) yapılması gerekmektedir. </w:t>
            </w:r>
          </w:p>
          <w:p w:rsidR="008B61FB" w:rsidRDefault="004B0646">
            <w:pPr>
              <w:spacing w:after="112"/>
              <w:ind w:left="708"/>
            </w:pPr>
            <w:r>
              <w:rPr>
                <w:rFonts w:ascii="Times New Roman" w:eastAsia="Times New Roman" w:hAnsi="Times New Roman" w:cs="Times New Roman"/>
                <w:b/>
                <w:sz w:val="24"/>
              </w:rPr>
              <w:t xml:space="preserve">*2 yıllık periyodik muayene süresi </w:t>
            </w:r>
            <w:proofErr w:type="gramStart"/>
            <w:r>
              <w:rPr>
                <w:rFonts w:ascii="Times New Roman" w:eastAsia="Times New Roman" w:hAnsi="Times New Roman" w:cs="Times New Roman"/>
                <w:b/>
                <w:sz w:val="24"/>
              </w:rPr>
              <w:t>olan;</w:t>
            </w:r>
            <w:r>
              <w:rPr>
                <w:rFonts w:ascii="Times New Roman" w:eastAsia="Times New Roman" w:hAnsi="Times New Roman" w:cs="Times New Roman"/>
                <w:sz w:val="24"/>
              </w:rPr>
              <w:t xml:space="preserve">  Belediyelerce</w:t>
            </w:r>
            <w:proofErr w:type="gramEnd"/>
            <w:r>
              <w:rPr>
                <w:rFonts w:ascii="Times New Roman" w:eastAsia="Times New Roman" w:hAnsi="Times New Roman" w:cs="Times New Roman"/>
                <w:sz w:val="24"/>
              </w:rPr>
              <w:t xml:space="preserve"> tespit edilecek yer ve günlerde kurulan, </w:t>
            </w:r>
          </w:p>
          <w:p w:rsidR="008B61FB" w:rsidRDefault="004B0646">
            <w:pPr>
              <w:spacing w:after="34" w:line="376" w:lineRule="auto"/>
              <w:ind w:right="65"/>
              <w:jc w:val="both"/>
            </w:pPr>
            <w:r>
              <w:rPr>
                <w:rFonts w:ascii="Times New Roman" w:eastAsia="Times New Roman" w:hAnsi="Times New Roman" w:cs="Times New Roman"/>
                <w:sz w:val="24"/>
              </w:rPr>
              <w:t>üretici ve pazarcılar tarafından malların doğrudan tüketicilere perakende olarak satıldığı açık veya kapalı pazar yerlerinde kullanılan ve tartım kapasitesi 2000 kg ve altında olan III ve IV üncü sınıf otomatik olmayan elektronik tartı aletleri, yay ve ele</w:t>
            </w:r>
            <w:r>
              <w:rPr>
                <w:rFonts w:ascii="Times New Roman" w:eastAsia="Times New Roman" w:hAnsi="Times New Roman" w:cs="Times New Roman"/>
                <w:sz w:val="24"/>
              </w:rPr>
              <w:t>ktronik tertibatı bulunmayan tartım kapasitesi 2000 kg ve altında olan mekanik tartı aletlerinden; Masa terazileri, Asma teraziler, Tek kollu kantarlar, ibreli teraziler, Uzunluk ölçüleri (tek parçalı ağaç metreler), Akıcı maddeler için hacim ölçüleri, Kur</w:t>
            </w:r>
            <w:r>
              <w:rPr>
                <w:rFonts w:ascii="Times New Roman" w:eastAsia="Times New Roman" w:hAnsi="Times New Roman" w:cs="Times New Roman"/>
                <w:sz w:val="24"/>
              </w:rPr>
              <w:t xml:space="preserve">u taneli maddeler için hacim ölçüleri, 5 kg’a kadar 5 kg dâhil hassas olmayan kütle ölçüleri kullanıcıları tarafından </w:t>
            </w:r>
            <w:r>
              <w:rPr>
                <w:rFonts w:ascii="Times New Roman" w:eastAsia="Times New Roman" w:hAnsi="Times New Roman" w:cs="Times New Roman"/>
                <w:b/>
                <w:sz w:val="24"/>
              </w:rPr>
              <w:t>29/02/2024</w:t>
            </w:r>
            <w:r>
              <w:rPr>
                <w:rFonts w:ascii="Times New Roman" w:eastAsia="Times New Roman" w:hAnsi="Times New Roman" w:cs="Times New Roman"/>
                <w:sz w:val="24"/>
              </w:rPr>
              <w:t xml:space="preserve"> tarihine kadar </w:t>
            </w:r>
            <w:r>
              <w:rPr>
                <w:rFonts w:ascii="Times New Roman" w:eastAsia="Times New Roman" w:hAnsi="Times New Roman" w:cs="Times New Roman"/>
                <w:b/>
                <w:sz w:val="24"/>
              </w:rPr>
              <w:t xml:space="preserve">Grup Merkezi Belediye Ölçüler ve Ayar Memurluklarına </w:t>
            </w:r>
            <w:r>
              <w:rPr>
                <w:rFonts w:ascii="Times New Roman" w:eastAsia="Times New Roman" w:hAnsi="Times New Roman" w:cs="Times New Roman"/>
                <w:sz w:val="24"/>
              </w:rPr>
              <w:t>başvurulması gerekmektedir.</w:t>
            </w:r>
            <w:r>
              <w:rPr>
                <w:rFonts w:ascii="Times New Roman" w:eastAsia="Times New Roman" w:hAnsi="Times New Roman" w:cs="Times New Roman"/>
                <w:b/>
                <w:sz w:val="24"/>
              </w:rPr>
              <w:t xml:space="preserve"> </w:t>
            </w:r>
          </w:p>
          <w:p w:rsidR="008B61FB" w:rsidRDefault="004B0646">
            <w:pPr>
              <w:spacing w:after="163"/>
            </w:pPr>
            <w:r>
              <w:rPr>
                <w:rFonts w:ascii="Times New Roman" w:eastAsia="Times New Roman" w:hAnsi="Times New Roman" w:cs="Times New Roman"/>
                <w:b/>
                <w:sz w:val="24"/>
              </w:rPr>
              <w:t xml:space="preserve">Grup Merkezi Belediye Ölçüler </w:t>
            </w:r>
            <w:r>
              <w:rPr>
                <w:rFonts w:ascii="Times New Roman" w:eastAsia="Times New Roman" w:hAnsi="Times New Roman" w:cs="Times New Roman"/>
                <w:b/>
                <w:sz w:val="24"/>
              </w:rPr>
              <w:t xml:space="preserve">ve Ayar Memurlukları; </w:t>
            </w:r>
          </w:p>
          <w:p w:rsidR="008B61FB" w:rsidRDefault="004B0646">
            <w:pPr>
              <w:spacing w:after="157"/>
            </w:pPr>
            <w:r>
              <w:rPr>
                <w:rFonts w:ascii="Times New Roman" w:eastAsia="Times New Roman" w:hAnsi="Times New Roman" w:cs="Times New Roman"/>
                <w:b/>
                <w:sz w:val="24"/>
              </w:rPr>
              <w:t xml:space="preserve">Ağrı, Doğubayazıt ve Patnos Belediye Başkanlıklarında mevcuttur. </w:t>
            </w:r>
          </w:p>
          <w:p w:rsidR="008B61FB" w:rsidRDefault="004B0646">
            <w:pPr>
              <w:spacing w:after="19" w:line="383" w:lineRule="auto"/>
              <w:jc w:val="both"/>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2 yıllık periyodik muayene süresi </w:t>
            </w:r>
            <w:proofErr w:type="gramStart"/>
            <w:r>
              <w:rPr>
                <w:rFonts w:ascii="Times New Roman" w:eastAsia="Times New Roman" w:hAnsi="Times New Roman" w:cs="Times New Roman"/>
                <w:b/>
                <w:sz w:val="24"/>
              </w:rPr>
              <w:t>olan;</w:t>
            </w:r>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Hububat muayene aletleri ve </w:t>
            </w:r>
            <w:proofErr w:type="spellStart"/>
            <w:r>
              <w:rPr>
                <w:rFonts w:ascii="Times New Roman" w:eastAsia="Times New Roman" w:hAnsi="Times New Roman" w:cs="Times New Roman"/>
                <w:sz w:val="24"/>
              </w:rPr>
              <w:t>naklimetreler</w:t>
            </w:r>
            <w:proofErr w:type="spellEnd"/>
            <w:r>
              <w:rPr>
                <w:rFonts w:ascii="Times New Roman" w:eastAsia="Times New Roman" w:hAnsi="Times New Roman" w:cs="Times New Roman"/>
                <w:sz w:val="24"/>
              </w:rPr>
              <w:t xml:space="preserve"> için muayene başvuruları  </w:t>
            </w:r>
            <w:r>
              <w:rPr>
                <w:rFonts w:ascii="Times New Roman" w:eastAsia="Times New Roman" w:hAnsi="Times New Roman" w:cs="Times New Roman"/>
                <w:b/>
                <w:sz w:val="24"/>
              </w:rPr>
              <w:t>https://dijitalbakanlik.sanayi.gov.tr</w:t>
            </w:r>
            <w:r>
              <w:rPr>
                <w:rFonts w:ascii="Times New Roman" w:eastAsia="Times New Roman" w:hAnsi="Times New Roman" w:cs="Times New Roman"/>
                <w:sz w:val="24"/>
              </w:rPr>
              <w:t xml:space="preserve"> adresli portal üz</w:t>
            </w:r>
            <w:r>
              <w:rPr>
                <w:rFonts w:ascii="Times New Roman" w:eastAsia="Times New Roman" w:hAnsi="Times New Roman" w:cs="Times New Roman"/>
                <w:sz w:val="24"/>
              </w:rPr>
              <w:t xml:space="preserve">erinden İl Sanayi ve Teknoloji </w:t>
            </w:r>
          </w:p>
          <w:p w:rsidR="008B61FB" w:rsidRDefault="004B0646">
            <w:pPr>
              <w:spacing w:after="112"/>
            </w:pPr>
            <w:r>
              <w:rPr>
                <w:rFonts w:ascii="Times New Roman" w:eastAsia="Times New Roman" w:hAnsi="Times New Roman" w:cs="Times New Roman"/>
                <w:sz w:val="24"/>
              </w:rPr>
              <w:t xml:space="preserve">Müdürlüğüne elektronik ortamda yapılması gerekmektedir. </w:t>
            </w:r>
          </w:p>
          <w:p w:rsidR="008B61FB" w:rsidRDefault="004B0646">
            <w:pPr>
              <w:spacing w:after="115"/>
              <w:ind w:left="708"/>
            </w:pPr>
            <w:r>
              <w:rPr>
                <w:rFonts w:ascii="Times New Roman" w:eastAsia="Times New Roman" w:hAnsi="Times New Roman" w:cs="Times New Roman"/>
                <w:sz w:val="24"/>
              </w:rPr>
              <w:t xml:space="preserve">* Dağıtım şebekelerinde abonelerde kullanılmakta olan 10 yıllık periyodik muayene süresini </w:t>
            </w:r>
          </w:p>
          <w:p w:rsidR="008B61FB" w:rsidRDefault="004B0646">
            <w:pPr>
              <w:spacing w:after="19" w:line="383" w:lineRule="auto"/>
              <w:jc w:val="both"/>
            </w:pPr>
            <w:proofErr w:type="gramStart"/>
            <w:r>
              <w:rPr>
                <w:rFonts w:ascii="Times New Roman" w:eastAsia="Times New Roman" w:hAnsi="Times New Roman" w:cs="Times New Roman"/>
                <w:sz w:val="24"/>
              </w:rPr>
              <w:t>doldurmuş;  elektrik</w:t>
            </w:r>
            <w:proofErr w:type="gramEnd"/>
            <w:r>
              <w:rPr>
                <w:rFonts w:ascii="Times New Roman" w:eastAsia="Times New Roman" w:hAnsi="Times New Roman" w:cs="Times New Roman"/>
                <w:sz w:val="24"/>
              </w:rPr>
              <w:t>, su ve doğalgaz sayaçları için muayene başvurularının;</w:t>
            </w:r>
            <w:r>
              <w:rPr>
                <w:rFonts w:ascii="Times New Roman" w:eastAsia="Times New Roman" w:hAnsi="Times New Roman" w:cs="Times New Roman"/>
                <w:sz w:val="24"/>
              </w:rPr>
              <w:t xml:space="preserve"> ilgili belediye başkanlıkları, elektrik ve doğalgaz dağıtım şirketleri tarafından </w:t>
            </w:r>
            <w:hyperlink r:id="rId11">
              <w:r>
                <w:rPr>
                  <w:rFonts w:ascii="Times New Roman" w:eastAsia="Times New Roman" w:hAnsi="Times New Roman" w:cs="Times New Roman"/>
                  <w:b/>
                  <w:sz w:val="24"/>
                  <w:u w:val="single" w:color="000000"/>
                </w:rPr>
                <w:t>https://dijitalbakanlik.sanayi.gov.tr</w:t>
              </w:r>
            </w:hyperlink>
            <w:hyperlink r:id="rId12">
              <w:r>
                <w:rPr>
                  <w:rFonts w:ascii="Times New Roman" w:eastAsia="Times New Roman" w:hAnsi="Times New Roman" w:cs="Times New Roman"/>
                  <w:sz w:val="24"/>
                </w:rPr>
                <w:t xml:space="preserve"> </w:t>
              </w:r>
            </w:hyperlink>
            <w:r>
              <w:rPr>
                <w:rFonts w:ascii="Times New Roman" w:eastAsia="Times New Roman" w:hAnsi="Times New Roman" w:cs="Times New Roman"/>
                <w:sz w:val="24"/>
              </w:rPr>
              <w:t>adresi üzerinden İl</w:t>
            </w:r>
            <w:r>
              <w:rPr>
                <w:rFonts w:ascii="Times New Roman" w:eastAsia="Times New Roman" w:hAnsi="Times New Roman" w:cs="Times New Roman"/>
                <w:sz w:val="24"/>
              </w:rPr>
              <w:t xml:space="preserve"> </w:t>
            </w:r>
          </w:p>
          <w:p w:rsidR="008B61FB" w:rsidRDefault="004B0646">
            <w:pPr>
              <w:spacing w:after="142"/>
            </w:pPr>
            <w:r>
              <w:rPr>
                <w:rFonts w:ascii="Times New Roman" w:eastAsia="Times New Roman" w:hAnsi="Times New Roman" w:cs="Times New Roman"/>
                <w:sz w:val="24"/>
              </w:rPr>
              <w:t xml:space="preserve">Sanayi ve Teknoloji Müdürlüğüne elektronik ortamda yapılması gerekmektedir. </w:t>
            </w:r>
          </w:p>
          <w:p w:rsidR="008B61FB" w:rsidRDefault="004B0646">
            <w:pPr>
              <w:tabs>
                <w:tab w:val="center" w:pos="1528"/>
                <w:tab w:val="center" w:pos="3021"/>
                <w:tab w:val="center" w:pos="3808"/>
                <w:tab w:val="center" w:pos="4716"/>
                <w:tab w:val="center" w:pos="5832"/>
                <w:tab w:val="center" w:pos="6654"/>
                <w:tab w:val="center" w:pos="7489"/>
                <w:tab w:val="center" w:pos="8511"/>
                <w:tab w:val="right" w:pos="10417"/>
              </w:tabs>
              <w:spacing w:after="140"/>
            </w:pPr>
            <w:r>
              <w:tab/>
            </w:r>
            <w:r>
              <w:rPr>
                <w:rFonts w:ascii="Times New Roman" w:eastAsia="Times New Roman" w:hAnsi="Times New Roman" w:cs="Times New Roman"/>
                <w:sz w:val="24"/>
              </w:rPr>
              <w:t xml:space="preserve">Bakanlığımızdan </w:t>
            </w:r>
            <w:r>
              <w:rPr>
                <w:rFonts w:ascii="Times New Roman" w:eastAsia="Times New Roman" w:hAnsi="Times New Roman" w:cs="Times New Roman"/>
                <w:sz w:val="24"/>
              </w:rPr>
              <w:tab/>
              <w:t xml:space="preserve">muayene </w:t>
            </w:r>
            <w:r>
              <w:rPr>
                <w:rFonts w:ascii="Times New Roman" w:eastAsia="Times New Roman" w:hAnsi="Times New Roman" w:cs="Times New Roman"/>
                <w:sz w:val="24"/>
              </w:rPr>
              <w:tab/>
              <w:t xml:space="preserve">ve </w:t>
            </w:r>
            <w:r>
              <w:rPr>
                <w:rFonts w:ascii="Times New Roman" w:eastAsia="Times New Roman" w:hAnsi="Times New Roman" w:cs="Times New Roman"/>
                <w:sz w:val="24"/>
              </w:rPr>
              <w:tab/>
              <w:t xml:space="preserve">damgalama </w:t>
            </w:r>
            <w:r>
              <w:rPr>
                <w:rFonts w:ascii="Times New Roman" w:eastAsia="Times New Roman" w:hAnsi="Times New Roman" w:cs="Times New Roman"/>
                <w:sz w:val="24"/>
              </w:rPr>
              <w:tab/>
              <w:t xml:space="preserve">yetkisi </w:t>
            </w:r>
            <w:r>
              <w:rPr>
                <w:rFonts w:ascii="Times New Roman" w:eastAsia="Times New Roman" w:hAnsi="Times New Roman" w:cs="Times New Roman"/>
                <w:sz w:val="24"/>
              </w:rPr>
              <w:tab/>
              <w:t xml:space="preserve">almış </w:t>
            </w:r>
            <w:r>
              <w:rPr>
                <w:rFonts w:ascii="Times New Roman" w:eastAsia="Times New Roman" w:hAnsi="Times New Roman" w:cs="Times New Roman"/>
                <w:sz w:val="24"/>
              </w:rPr>
              <w:tab/>
              <w:t xml:space="preserve">Yetkili </w:t>
            </w:r>
            <w:r>
              <w:rPr>
                <w:rFonts w:ascii="Times New Roman" w:eastAsia="Times New Roman" w:hAnsi="Times New Roman" w:cs="Times New Roman"/>
                <w:sz w:val="24"/>
              </w:rPr>
              <w:tab/>
              <w:t xml:space="preserve">Muayene </w:t>
            </w:r>
            <w:r>
              <w:rPr>
                <w:rFonts w:ascii="Times New Roman" w:eastAsia="Times New Roman" w:hAnsi="Times New Roman" w:cs="Times New Roman"/>
                <w:sz w:val="24"/>
              </w:rPr>
              <w:tab/>
              <w:t xml:space="preserve">Servislerine </w:t>
            </w:r>
          </w:p>
          <w:p w:rsidR="008B61FB" w:rsidRDefault="004B0646">
            <w:pPr>
              <w:spacing w:after="144"/>
            </w:pPr>
            <w:hyperlink r:id="rId13">
              <w:r>
                <w:rPr>
                  <w:rFonts w:ascii="Times New Roman" w:eastAsia="Times New Roman" w:hAnsi="Times New Roman" w:cs="Times New Roman"/>
                  <w:b/>
                  <w:sz w:val="24"/>
                </w:rPr>
                <w:t>(</w:t>
              </w:r>
            </w:hyperlink>
            <w:hyperlink r:id="rId14">
              <w:r>
                <w:rPr>
                  <w:rFonts w:ascii="Times New Roman" w:eastAsia="Times New Roman" w:hAnsi="Times New Roman" w:cs="Times New Roman"/>
                  <w:b/>
                  <w:sz w:val="24"/>
                  <w:u w:val="single" w:color="000000"/>
                </w:rPr>
                <w:t>http://msurapor.sanayi.gov.tr/</w:t>
              </w:r>
            </w:hyperlink>
            <w:hyperlink r:id="rId15">
              <w:r>
                <w:rPr>
                  <w:rFonts w:ascii="Times New Roman" w:eastAsia="Times New Roman" w:hAnsi="Times New Roman" w:cs="Times New Roman"/>
                  <w:b/>
                  <w:sz w:val="24"/>
                </w:rPr>
                <w:t>)</w:t>
              </w:r>
            </w:hyperlink>
            <w:r>
              <w:rPr>
                <w:rFonts w:ascii="Times New Roman" w:eastAsia="Times New Roman" w:hAnsi="Times New Roman" w:cs="Times New Roman"/>
                <w:sz w:val="24"/>
              </w:rPr>
              <w:t xml:space="preserve"> adresinden ulaşılabilir. </w:t>
            </w:r>
          </w:p>
          <w:p w:rsidR="008B61FB" w:rsidRDefault="004B0646">
            <w:pPr>
              <w:spacing w:after="0" w:line="376" w:lineRule="auto"/>
              <w:ind w:firstLine="708"/>
              <w:jc w:val="both"/>
            </w:pPr>
            <w:r>
              <w:rPr>
                <w:rFonts w:ascii="Times New Roman" w:eastAsia="Times New Roman" w:hAnsi="Times New Roman" w:cs="Times New Roman"/>
                <w:sz w:val="24"/>
              </w:rPr>
              <w:t xml:space="preserve">Kanuna aykırı hareket edenler hakkında ilgili Kanunun </w:t>
            </w:r>
            <w:r>
              <w:rPr>
                <w:rFonts w:ascii="Times New Roman" w:eastAsia="Times New Roman" w:hAnsi="Times New Roman" w:cs="Times New Roman"/>
                <w:b/>
                <w:sz w:val="24"/>
              </w:rPr>
              <w:t>15</w:t>
            </w:r>
            <w:r>
              <w:rPr>
                <w:rFonts w:ascii="Times New Roman" w:eastAsia="Times New Roman" w:hAnsi="Times New Roman" w:cs="Times New Roman"/>
                <w:sz w:val="24"/>
              </w:rPr>
              <w:t xml:space="preserve"> inci maddesinin </w:t>
            </w:r>
            <w:r>
              <w:rPr>
                <w:rFonts w:ascii="Times New Roman" w:eastAsia="Times New Roman" w:hAnsi="Times New Roman" w:cs="Times New Roman"/>
                <w:b/>
                <w:sz w:val="24"/>
              </w:rPr>
              <w:t>c</w:t>
            </w:r>
            <w:r>
              <w:rPr>
                <w:rFonts w:ascii="Times New Roman" w:eastAsia="Times New Roman" w:hAnsi="Times New Roman" w:cs="Times New Roman"/>
                <w:sz w:val="24"/>
              </w:rPr>
              <w:t xml:space="preserve"> bendine göre her bir ölçü</w:t>
            </w:r>
            <w:r>
              <w:rPr>
                <w:rFonts w:ascii="Times New Roman" w:eastAsia="Times New Roman" w:hAnsi="Times New Roman" w:cs="Times New Roman"/>
                <w:sz w:val="24"/>
              </w:rPr>
              <w:t xml:space="preserve"> aleti için </w:t>
            </w:r>
            <w:r>
              <w:rPr>
                <w:rFonts w:ascii="Times New Roman" w:eastAsia="Times New Roman" w:hAnsi="Times New Roman" w:cs="Times New Roman"/>
                <w:b/>
                <w:sz w:val="28"/>
              </w:rPr>
              <w:t>3.218,00 TL– 64.352,00 TL</w:t>
            </w:r>
            <w:r>
              <w:rPr>
                <w:rFonts w:ascii="Times New Roman" w:eastAsia="Times New Roman" w:hAnsi="Times New Roman" w:cs="Times New Roman"/>
                <w:sz w:val="24"/>
              </w:rPr>
              <w:t xml:space="preserve"> arasında idari para cezası uygulanacaktır. </w:t>
            </w:r>
          </w:p>
          <w:p w:rsidR="008B61FB" w:rsidRDefault="004B0646">
            <w:pPr>
              <w:spacing w:after="49" w:line="356" w:lineRule="auto"/>
              <w:ind w:firstLine="708"/>
              <w:jc w:val="both"/>
            </w:pPr>
            <w:r>
              <w:rPr>
                <w:rFonts w:ascii="Times New Roman" w:eastAsia="Times New Roman" w:hAnsi="Times New Roman" w:cs="Times New Roman"/>
                <w:sz w:val="24"/>
              </w:rPr>
              <w:t xml:space="preserve">İlgililerin cezalı duruma düşmemeleri, süresi içinde yasal sorumluluklarını yerine getirmeleri gerekmektedir.  </w:t>
            </w:r>
          </w:p>
          <w:p w:rsidR="008B61FB" w:rsidRDefault="004B0646">
            <w:pPr>
              <w:spacing w:after="73"/>
              <w:ind w:left="708"/>
            </w:pPr>
            <w:r>
              <w:rPr>
                <w:rFonts w:ascii="Times New Roman" w:eastAsia="Times New Roman" w:hAnsi="Times New Roman" w:cs="Times New Roman"/>
                <w:sz w:val="24"/>
              </w:rPr>
              <w:t xml:space="preserve">Kamuoyunun bilgisine saygıyla duyurulur. </w:t>
            </w:r>
          </w:p>
          <w:p w:rsidR="008B61FB" w:rsidRDefault="004B0646">
            <w:pPr>
              <w:spacing w:after="0"/>
              <w:ind w:right="64"/>
              <w:jc w:val="right"/>
            </w:pPr>
            <w:r>
              <w:rPr>
                <w:rFonts w:ascii="Times New Roman" w:eastAsia="Times New Roman" w:hAnsi="Times New Roman" w:cs="Times New Roman"/>
                <w:sz w:val="24"/>
              </w:rPr>
              <w:t xml:space="preserve">         </w:t>
            </w:r>
            <w:r>
              <w:rPr>
                <w:rFonts w:ascii="Times New Roman" w:eastAsia="Times New Roman" w:hAnsi="Times New Roman" w:cs="Times New Roman"/>
                <w:b/>
                <w:sz w:val="28"/>
              </w:rPr>
              <w:t xml:space="preserve"> İl Sanayi </w:t>
            </w:r>
            <w:r>
              <w:rPr>
                <w:rFonts w:ascii="Times New Roman" w:eastAsia="Times New Roman" w:hAnsi="Times New Roman" w:cs="Times New Roman"/>
                <w:b/>
                <w:sz w:val="28"/>
              </w:rPr>
              <w:t>ve Teknoloji Müdürlüğü</w:t>
            </w:r>
            <w:r>
              <w:rPr>
                <w:b/>
                <w:sz w:val="28"/>
              </w:rPr>
              <w:t xml:space="preserve"> </w:t>
            </w:r>
          </w:p>
          <w:p w:rsidR="008B61FB" w:rsidRDefault="004B0646">
            <w:pPr>
              <w:spacing w:after="0"/>
            </w:pPr>
            <w:r>
              <w:t xml:space="preserve"> </w:t>
            </w:r>
          </w:p>
        </w:tc>
        <w:bookmarkStart w:id="0" w:name="_GoBack"/>
        <w:bookmarkEnd w:id="0"/>
      </w:tr>
      <w:tr w:rsidR="008B61FB">
        <w:trPr>
          <w:trHeight w:val="836"/>
        </w:trPr>
        <w:tc>
          <w:tcPr>
            <w:tcW w:w="5355" w:type="dxa"/>
            <w:gridSpan w:val="2"/>
            <w:tcBorders>
              <w:top w:val="single" w:sz="4" w:space="0" w:color="000000"/>
              <w:left w:val="single" w:sz="4" w:space="0" w:color="000000"/>
              <w:bottom w:val="single" w:sz="4" w:space="0" w:color="000000"/>
              <w:right w:val="single" w:sz="4" w:space="0" w:color="000000"/>
            </w:tcBorders>
          </w:tcPr>
          <w:p w:rsidR="008B61FB" w:rsidRDefault="004B0646">
            <w:pPr>
              <w:spacing w:after="10"/>
            </w:pPr>
            <w:r>
              <w:rPr>
                <w:rFonts w:ascii="Times New Roman" w:eastAsia="Times New Roman" w:hAnsi="Times New Roman" w:cs="Times New Roman"/>
                <w:b/>
                <w:sz w:val="20"/>
              </w:rPr>
              <w:t xml:space="preserve"> </w:t>
            </w:r>
          </w:p>
          <w:p w:rsidR="008B61FB" w:rsidRDefault="004B0646">
            <w:pPr>
              <w:spacing w:after="0"/>
            </w:pPr>
            <w:r>
              <w:rPr>
                <w:rFonts w:ascii="Times New Roman" w:eastAsia="Times New Roman" w:hAnsi="Times New Roman" w:cs="Times New Roman"/>
                <w:b/>
                <w:sz w:val="20"/>
              </w:rPr>
              <w:t xml:space="preserve">HABER VEREN YETKİLİNİN ADI SOYADI </w:t>
            </w:r>
          </w:p>
        </w:tc>
        <w:tc>
          <w:tcPr>
            <w:tcW w:w="5135" w:type="dxa"/>
            <w:tcBorders>
              <w:top w:val="single" w:sz="4" w:space="0" w:color="000000"/>
              <w:left w:val="single" w:sz="4" w:space="0" w:color="000000"/>
              <w:bottom w:val="single" w:sz="4" w:space="0" w:color="000000"/>
              <w:right w:val="single" w:sz="4" w:space="0" w:color="000000"/>
            </w:tcBorders>
          </w:tcPr>
          <w:p w:rsidR="008B61FB" w:rsidRDefault="004B0646">
            <w:pPr>
              <w:spacing w:after="0"/>
              <w:ind w:left="910" w:right="978"/>
              <w:jc w:val="center"/>
            </w:pPr>
            <w:r>
              <w:rPr>
                <w:rFonts w:ascii="Times New Roman" w:eastAsia="Times New Roman" w:hAnsi="Times New Roman" w:cs="Times New Roman"/>
                <w:b/>
                <w:sz w:val="24"/>
              </w:rPr>
              <w:t>Şükrü Fatih NURDAĞLI İl Sanayi ve Teknoloji Müdürü</w:t>
            </w:r>
            <w:r>
              <w:rPr>
                <w:rFonts w:ascii="Times New Roman" w:eastAsia="Times New Roman" w:hAnsi="Times New Roman" w:cs="Times New Roman"/>
                <w:b/>
                <w:sz w:val="20"/>
              </w:rPr>
              <w:t xml:space="preserve"> </w:t>
            </w:r>
          </w:p>
        </w:tc>
      </w:tr>
    </w:tbl>
    <w:p w:rsidR="008B61FB" w:rsidRDefault="004B0646">
      <w:pPr>
        <w:spacing w:after="0"/>
        <w:jc w:val="right"/>
      </w:pPr>
      <w:r>
        <w:t xml:space="preserve"> </w:t>
      </w:r>
    </w:p>
    <w:p w:rsidR="008B61FB" w:rsidRDefault="004B0646">
      <w:pPr>
        <w:spacing w:after="0"/>
      </w:pPr>
      <w:r>
        <w:t xml:space="preserve"> </w:t>
      </w:r>
    </w:p>
    <w:sectPr w:rsidR="008B61FB" w:rsidSect="004B0646">
      <w:pgSz w:w="11906" w:h="16838"/>
      <w:pgMar w:top="284" w:right="2331" w:bottom="568"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D5719"/>
    <w:multiLevelType w:val="hybridMultilevel"/>
    <w:tmpl w:val="2B6C515A"/>
    <w:lvl w:ilvl="0" w:tplc="5F6C1DA2">
      <w:start w:val="1"/>
      <w:numFmt w:val="bullet"/>
      <w:lvlText w:val="*"/>
      <w:lvlJc w:val="left"/>
      <w:pPr>
        <w:ind w:left="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42A198">
      <w:start w:val="1"/>
      <w:numFmt w:val="bullet"/>
      <w:lvlText w:val="o"/>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848F00">
      <w:start w:val="1"/>
      <w:numFmt w:val="bullet"/>
      <w:lvlText w:val="▪"/>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42ECE8">
      <w:start w:val="1"/>
      <w:numFmt w:val="bullet"/>
      <w:lvlText w:val="•"/>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7AA946">
      <w:start w:val="1"/>
      <w:numFmt w:val="bullet"/>
      <w:lvlText w:val="o"/>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DAF9BC">
      <w:start w:val="1"/>
      <w:numFmt w:val="bullet"/>
      <w:lvlText w:val="▪"/>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E2A778">
      <w:start w:val="1"/>
      <w:numFmt w:val="bullet"/>
      <w:lvlText w:val="•"/>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DC0F2C">
      <w:start w:val="1"/>
      <w:numFmt w:val="bullet"/>
      <w:lvlText w:val="o"/>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4C3C4C">
      <w:start w:val="1"/>
      <w:numFmt w:val="bullet"/>
      <w:lvlText w:val="▪"/>
      <w:lvlJc w:val="left"/>
      <w:pPr>
        <w:ind w:left="6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1FB"/>
    <w:rsid w:val="004B0646"/>
    <w:rsid w:val="008B61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B6F15"/>
  <w15:docId w15:val="{47BEA54C-9AD2-4236-8A2B-AD8F4358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basvuruportal.tse.org.tr/Ajanda.aspx" TargetMode="External"/><Relationship Id="rId13" Type="http://schemas.openxmlformats.org/officeDocument/2006/relationships/hyperlink" Target="http://msurapor.sanayi.gov.tr/" TargetMode="External"/><Relationship Id="rId3" Type="http://schemas.openxmlformats.org/officeDocument/2006/relationships/settings" Target="settings.xml"/><Relationship Id="rId7" Type="http://schemas.openxmlformats.org/officeDocument/2006/relationships/hyperlink" Target="https://basvuruportal.tse.org.tr/Ajanda.aspx" TargetMode="External"/><Relationship Id="rId12" Type="http://schemas.openxmlformats.org/officeDocument/2006/relationships/hyperlink" Target="https://dijitalbakanlik.sanayi.gov.t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asvuruportal.tse.org.tr/" TargetMode="External"/><Relationship Id="rId11" Type="http://schemas.openxmlformats.org/officeDocument/2006/relationships/hyperlink" Target="https://dijitalbakanlik.sanayi.gov.tr/" TargetMode="External"/><Relationship Id="rId5" Type="http://schemas.openxmlformats.org/officeDocument/2006/relationships/hyperlink" Target="https://basvuruportal.tse.org.tr/" TargetMode="External"/><Relationship Id="rId15" Type="http://schemas.openxmlformats.org/officeDocument/2006/relationships/hyperlink" Target="http://msurapor.sanayi.gov.tr/" TargetMode="External"/><Relationship Id="rId10" Type="http://schemas.openxmlformats.org/officeDocument/2006/relationships/hyperlink" Target="https://basvuruportal.tse.org.tr/Ajanda.aspx" TargetMode="External"/><Relationship Id="rId4" Type="http://schemas.openxmlformats.org/officeDocument/2006/relationships/webSettings" Target="webSettings.xml"/><Relationship Id="rId9" Type="http://schemas.openxmlformats.org/officeDocument/2006/relationships/hyperlink" Target="https://basvuruportal.tse.org.tr/Ajanda.aspx" TargetMode="External"/><Relationship Id="rId14" Type="http://schemas.openxmlformats.org/officeDocument/2006/relationships/hyperlink" Target="http://msurapor.sanayi.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837</Words>
  <Characters>4771</Characters>
  <Application>Microsoft Office Word</Application>
  <DocSecurity>0</DocSecurity>
  <Lines>39</Lines>
  <Paragraphs>11</Paragraphs>
  <ScaleCrop>false</ScaleCrop>
  <Company>ICISLERI BAKANLIGI</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Yakup Başboğa</dc:creator>
  <cp:keywords/>
  <cp:lastModifiedBy>Ümit ÇELİK</cp:lastModifiedBy>
  <cp:revision>2</cp:revision>
  <dcterms:created xsi:type="dcterms:W3CDTF">2024-01-09T06:46:00Z</dcterms:created>
  <dcterms:modified xsi:type="dcterms:W3CDTF">2024-01-09T06:46:00Z</dcterms:modified>
</cp:coreProperties>
</file>